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rFonts w:hint="eastAsia" w:eastAsia="宋体"/>
          <w:sz w:val="30"/>
          <w:lang w:eastAsia="zh-CN"/>
        </w:rPr>
        <w:drawing>
          <wp:anchor distT="0" distB="0" distL="114300" distR="114300" simplePos="0" relativeHeight="251680768" behindDoc="0" locked="0" layoutInCell="1" allowOverlap="1">
            <wp:simplePos x="0" y="0"/>
            <wp:positionH relativeFrom="column">
              <wp:posOffset>1113155</wp:posOffset>
            </wp:positionH>
            <wp:positionV relativeFrom="paragraph">
              <wp:posOffset>518160</wp:posOffset>
            </wp:positionV>
            <wp:extent cx="3025140" cy="2161540"/>
            <wp:effectExtent l="0" t="0" r="10160" b="10160"/>
            <wp:wrapTopAndBottom/>
            <wp:docPr id="2" name="图片 2" descr="四度冰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度冰盒"/>
                    <pic:cNvPicPr>
                      <a:picLocks noChangeAspect="1"/>
                    </pic:cNvPicPr>
                  </pic:nvPicPr>
                  <pic:blipFill>
                    <a:blip r:embed="rId6"/>
                    <a:srcRect t="15953" b="12594"/>
                    <a:stretch>
                      <a:fillRect/>
                    </a:stretch>
                  </pic:blipFill>
                  <pic:spPr>
                    <a:xfrm>
                      <a:off x="0" y="0"/>
                      <a:ext cx="3025140" cy="2161540"/>
                    </a:xfrm>
                    <a:prstGeom prst="rect">
                      <a:avLst/>
                    </a:prstGeom>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79744" behindDoc="0" locked="0" layoutInCell="1" allowOverlap="1">
                <wp:simplePos x="0" y="0"/>
                <wp:positionH relativeFrom="column">
                  <wp:posOffset>1866900</wp:posOffset>
                </wp:positionH>
                <wp:positionV relativeFrom="paragraph">
                  <wp:posOffset>2430145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HICE-4 4度电子冰盒</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7pt;margin-top:191.35pt;height:144pt;width:144pt;mso-wrap-distance-bottom:0pt;mso-wrap-distance-top:0pt;mso-wrap-style:none;z-index:251679744;mso-width-relative:page;mso-height-relative:page;" filled="f" stroked="f" coordsize="21600,21600" o:gfxdata="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twyDNsAAAAL&#10;AQAADwAAAAAAAAABACAAAAAiAAAAZHJzL2Rvd25yZXYueG1sUEsBAhQAFAAAAAgAh07iQC2BxHQZ&#10;AgAAFwQAAA4AAAAAAAAAAQAgAAAAKgEAAGRycy9lMm9Eb2MueG1sUEsFBgAAAAAGAAYAWQEAALUF&#10;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HICE-4 4度电子冰盒</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942975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74.25pt;height:0.3pt;width:415.15pt;z-index:-251638784;mso-width-relative:page;mso-height-relative:page;" filled="f" stroked="t" coordsize="21600,21600" o:gfxdata="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IDq0NcAAAAJAQAADwAAAAAAAAABACAAAAAi&#10;AAAAZHJzL2Rvd25yZXYueG1sUEsBAhQAFAAAAAgAh07iQDcgCtjSAQAAZwMAAA4AAAAAAAAAAQAg&#10;AAAAJgEAAGRycy9lMm9Eb2MueG1sUEsFBgAAAAAGAAYAWQEAAGo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本仪器是采用微电脑控制和半导体制冷技术制造的一款恒温产品，开机后一键式启动4℃恒温功能，也可手动设定或调节温度，可对样本进行加热、制冷、恒温，可广泛应用于低温实验试剂或实验样品在实验操作过程中的短期保存。该仪器可替代实验室内制冰机，冰盒，冰袋等，减少污染，干净卫生。是分子生物学实验室常备通用实验仪器。</w:t>
      </w:r>
    </w:p>
    <w:p>
      <w:pPr>
        <w:adjustRightInd w:val="0"/>
        <w:spacing w:line="360" w:lineRule="auto"/>
        <w:rPr>
          <w:rFonts w:hint="eastAsia" w:ascii="宋体" w:hAnsi="宋体" w:eastAsia="宋体" w:cs="宋体"/>
          <w:color w:val="2F5597" w:themeColor="accent1" w:themeShade="BF"/>
          <w:kern w:val="2"/>
          <w:sz w:val="24"/>
          <w:szCs w:val="24"/>
          <w:lang w:val="en-US" w:eastAsia="zh-CN" w:bidi="ar-SA"/>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操作简单方便，超大的显示屏使数据一目了然；</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 4.3寸TFT电容屏显示，人机友好的触摸式操作界面；</w:t>
      </w:r>
    </w:p>
    <w:p>
      <w:pPr>
        <w:pStyle w:val="21"/>
        <w:numPr>
          <w:ilvl w:val="0"/>
          <w:numId w:val="0"/>
        </w:numPr>
        <w:adjustRightInd w:val="0"/>
        <w:spacing w:line="360" w:lineRule="auto"/>
        <w:ind w:left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 所有图标均采有动态显示，更加的人性化；</w:t>
      </w:r>
    </w:p>
    <w:p>
      <w:pPr>
        <w:pStyle w:val="21"/>
        <w:numPr>
          <w:ilvl w:val="0"/>
          <w:numId w:val="0"/>
        </w:numPr>
        <w:adjustRightInd w:val="0"/>
        <w:spacing w:line="360" w:lineRule="auto"/>
        <w:ind w:left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 自动故障检测及蜂鸣器报警功能，温度偏差校准功能;</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 透明保温盖采用耐高温PC环保材质，一体化设计防止丢失，内置超温保护装置,多重安全保护功能，符合CE 安全标准，安全可靠;</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6. 可选配USB或上位机通讯功能。</w:t>
      </w: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907"/>
        <w:gridCol w:w="56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HICE-4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温度设置范围</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 ~10</w:t>
            </w:r>
            <w:r>
              <w:rPr>
                <w:rStyle w:val="12"/>
                <w:rFonts w:hint="eastAsia" w:ascii="宋体" w:hAnsi="宋体" w:cs="宋体"/>
                <w:b w:val="0"/>
                <w:bCs w:val="0"/>
                <w:color w:val="2F5597" w:themeColor="accent1" w:themeShade="BF"/>
                <w:kern w:val="0"/>
                <w:sz w:val="24"/>
                <w:szCs w:val="24"/>
                <w:shd w:val="clear" w:color="auto" w:fill="FFFFFF"/>
                <w:lang w:val="en-US" w:eastAsia="zh-CN" w:bidi="ar"/>
              </w:rPr>
              <w:t>0</w:t>
            </w:r>
            <w:r>
              <w:rPr>
                <w:rStyle w:val="12"/>
                <w:rFonts w:hint="eastAsia" w:ascii="宋体" w:hAnsi="宋体" w:cs="宋体"/>
                <w:b w:val="0"/>
                <w:bCs w:val="0"/>
                <w:color w:val="2F5597" w:themeColor="accent1" w:themeShade="BF"/>
                <w:kern w:val="0"/>
                <w:sz w:val="24"/>
                <w:szCs w:val="24"/>
                <w:shd w:val="clear" w:color="auto" w:fill="FFFFFF"/>
                <w:lang w:bidi="ar"/>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显示方式</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4.3寸高清晰电容屏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控制方式</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全屏TFT触摸式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一键式4℃恒温功能</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工作或故障报警提示功能</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温度校对功能</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温度动态显示功能</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电脑或上位机控制</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 USB接口</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电源输入</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100-240V/50-60Hz～1.0A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bookmarkStart w:id="0" w:name="_GoBack"/>
            <w:bookmarkEnd w:id="0"/>
            <w:r>
              <w:rPr>
                <w:rStyle w:val="12"/>
                <w:rFonts w:hint="eastAsia" w:ascii="宋体" w:hAnsi="宋体" w:cs="宋体"/>
                <w:b w:val="0"/>
                <w:bCs w:val="0"/>
                <w:color w:val="2F5597" w:themeColor="accent1" w:themeShade="BF"/>
                <w:kern w:val="0"/>
                <w:sz w:val="24"/>
                <w:szCs w:val="24"/>
                <w:shd w:val="clear" w:color="auto" w:fill="FFFFFF"/>
                <w:lang w:bidi="ar"/>
              </w:rPr>
              <w:t>控温精度</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 ± 0.5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显示精度</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模块温度均匀性</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 ± 0.3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升温时间</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≤15分钟（20℃至100℃）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降温时间</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≤10分钟 （室温25℃降至4℃）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标配离心管模块</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35*2.0ml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894"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可选配离心管模块</w:t>
            </w:r>
          </w:p>
        </w:tc>
        <w:tc>
          <w:tcPr>
            <w:tcW w:w="5615" w:type="dxa"/>
            <w:tcBorders>
              <w:tl2br w:val="nil"/>
              <w:tr2bl w:val="nil"/>
            </w:tcBorders>
            <w:vAlign w:val="center"/>
          </w:tcPr>
          <w:p>
            <w:pPr>
              <w:widowControl/>
              <w:shd w:val="clear" w:color="auto" w:fill="FFFFFF"/>
              <w:jc w:val="both"/>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HX-A</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HX-B</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HX-C</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HX-D</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HX-E</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HX-F</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HX-G</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HX-H</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HX-J</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HX-K</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HX-L</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HX-M</w:t>
            </w:r>
            <w:r>
              <w:rPr>
                <w:rStyle w:val="12"/>
                <w:rFonts w:hint="eastAsia" w:ascii="宋体" w:hAnsi="宋体" w:cs="宋体"/>
                <w:b w:val="0"/>
                <w:bCs w:val="0"/>
                <w:color w:val="2F5597" w:themeColor="accent1" w:themeShade="BF"/>
                <w:kern w:val="0"/>
                <w:sz w:val="24"/>
                <w:szCs w:val="24"/>
                <w:shd w:val="clear" w:color="auto" w:fill="FFFFFF"/>
                <w:lang w:eastAsia="zh-CN" w:bidi="ar"/>
              </w:rPr>
              <w:t>、</w:t>
            </w:r>
            <w:r>
              <w:rPr>
                <w:rStyle w:val="12"/>
                <w:rFonts w:hint="eastAsia" w:ascii="宋体" w:hAnsi="宋体" w:cs="宋体"/>
                <w:b w:val="0"/>
                <w:bCs w:val="0"/>
                <w:color w:val="2F5597" w:themeColor="accent1" w:themeShade="BF"/>
                <w:kern w:val="0"/>
                <w:sz w:val="24"/>
                <w:szCs w:val="24"/>
                <w:shd w:val="clear" w:color="auto" w:fill="FFFFFF"/>
                <w:lang w:bidi="ar"/>
              </w:rPr>
              <w:t>HX-N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控温方式</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半导体</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输入功率</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熔 断 器</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250V 3A Ф5×20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外形尺寸(mm)</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280*210*180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包装尺寸(mm)</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340*265*235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仪器净重kg</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仪器毛重kg</w:t>
            </w:r>
          </w:p>
        </w:tc>
        <w:tc>
          <w:tcPr>
            <w:tcW w:w="5615" w:type="dxa"/>
            <w:tcBorders>
              <w:tl2br w:val="nil"/>
              <w:tr2bl w:val="nil"/>
            </w:tcBorders>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4.5</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4、可选模块</w:t>
      </w:r>
      <w:r>
        <w:drawing>
          <wp:inline distT="0" distB="0" distL="0" distR="0">
            <wp:extent cx="5274310" cy="172021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720255"/>
                    </a:xfrm>
                    <a:prstGeom prst="rect">
                      <a:avLst/>
                    </a:prstGeom>
                  </pic:spPr>
                </pic:pic>
              </a:graphicData>
            </a:graphic>
          </wp:inline>
        </w:drawing>
      </w: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4"/>
        <w:tblW w:w="8593" w:type="dxa"/>
        <w:tblInd w:w="0" w:type="dxa"/>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
      <w:tblGrid>
        <w:gridCol w:w="2263"/>
        <w:gridCol w:w="6330"/>
      </w:tblGrid>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HX-A</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96*0.2ml标准板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HX-B</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54*0.5ml离心管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HX-C</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HX-D</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35*2.0ml离心管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HX-E</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20*0.5ml+15*1.5ml离心管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HX-F</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24*直径≤￠12mm试管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HX-G</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32*0.2ml+25*1.5ml离心管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HX-H</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32*0.2ml+10*0.5ml+15*1.5ml离心管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HX-J</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96*0.2ml微孔板(酶标板平板)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HX-K</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24*5ml离心管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HX-L</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12*15ml (最高转速600rpm)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ascii="宋体" w:hAnsi="宋体" w:cs="宋体"/>
                <w:b w:val="0"/>
                <w:bCs w:val="0"/>
                <w:color w:val="2F5597" w:themeColor="accent1" w:themeShade="BF"/>
                <w:kern w:val="0"/>
                <w:sz w:val="24"/>
                <w:szCs w:val="24"/>
                <w:shd w:val="clear" w:color="auto" w:fill="FFFFFF"/>
                <w:lang w:bidi="ar"/>
              </w:rPr>
              <w:t>HX-M</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6*50ml (最高转速600rpm) 100℃</w:t>
            </w:r>
          </w:p>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HX-N</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15*10ml离心管100℃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35</w:t>
            </w:r>
            <w:r>
              <w:rPr>
                <w:rFonts w:hint="eastAsia" w:ascii="宋体" w:hAnsi="宋体" w:eastAsia="宋体" w:cs="Times New Roman"/>
                <w:color w:val="2F5597" w:themeColor="accent1" w:themeShade="BF"/>
                <w:kern w:val="2"/>
                <w:sz w:val="24"/>
                <w:szCs w:val="24"/>
                <w:lang w:val="en-US" w:eastAsia="zh-CN" w:bidi="ar-SA"/>
              </w:rPr>
              <w:t>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1C7440"/>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2EF1"/>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635FDA"/>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7DC0469"/>
    <w:rsid w:val="18711AC3"/>
    <w:rsid w:val="1886336C"/>
    <w:rsid w:val="19471AEB"/>
    <w:rsid w:val="1976192B"/>
    <w:rsid w:val="1A4C7833"/>
    <w:rsid w:val="1AB80B3F"/>
    <w:rsid w:val="1B68721A"/>
    <w:rsid w:val="1B871C86"/>
    <w:rsid w:val="1BDC1811"/>
    <w:rsid w:val="1C4A28F1"/>
    <w:rsid w:val="1C8D4EFF"/>
    <w:rsid w:val="1E486378"/>
    <w:rsid w:val="1F4E56FF"/>
    <w:rsid w:val="1F995798"/>
    <w:rsid w:val="20866F0A"/>
    <w:rsid w:val="2159429D"/>
    <w:rsid w:val="216A23E2"/>
    <w:rsid w:val="22E601DB"/>
    <w:rsid w:val="23243285"/>
    <w:rsid w:val="23E71AFD"/>
    <w:rsid w:val="241D3C4F"/>
    <w:rsid w:val="246A0583"/>
    <w:rsid w:val="24AE6CFC"/>
    <w:rsid w:val="295A600F"/>
    <w:rsid w:val="2A602115"/>
    <w:rsid w:val="2A847618"/>
    <w:rsid w:val="2AC31D90"/>
    <w:rsid w:val="2BE36FED"/>
    <w:rsid w:val="2C2B4AD0"/>
    <w:rsid w:val="2C7D7234"/>
    <w:rsid w:val="2C936415"/>
    <w:rsid w:val="2CBC35B2"/>
    <w:rsid w:val="2D270418"/>
    <w:rsid w:val="2D9E504D"/>
    <w:rsid w:val="2DBB4423"/>
    <w:rsid w:val="2E5E5B1C"/>
    <w:rsid w:val="2F780BF9"/>
    <w:rsid w:val="30667F5E"/>
    <w:rsid w:val="32494755"/>
    <w:rsid w:val="33DC53B7"/>
    <w:rsid w:val="34121BAC"/>
    <w:rsid w:val="348346E6"/>
    <w:rsid w:val="348E7F12"/>
    <w:rsid w:val="35B92EB0"/>
    <w:rsid w:val="36585CBC"/>
    <w:rsid w:val="36E10A24"/>
    <w:rsid w:val="38CC2145"/>
    <w:rsid w:val="3A045A6B"/>
    <w:rsid w:val="3A542ACC"/>
    <w:rsid w:val="3ABF1760"/>
    <w:rsid w:val="3C5E63A4"/>
    <w:rsid w:val="3DA6127B"/>
    <w:rsid w:val="3DEB6E30"/>
    <w:rsid w:val="3E2B5E06"/>
    <w:rsid w:val="40764144"/>
    <w:rsid w:val="410B44C7"/>
    <w:rsid w:val="43EA5F2F"/>
    <w:rsid w:val="442711AA"/>
    <w:rsid w:val="445E2512"/>
    <w:rsid w:val="452B4A5F"/>
    <w:rsid w:val="454D0475"/>
    <w:rsid w:val="4698297B"/>
    <w:rsid w:val="476C61D1"/>
    <w:rsid w:val="498B526A"/>
    <w:rsid w:val="4A527F2C"/>
    <w:rsid w:val="4AA4627F"/>
    <w:rsid w:val="4ADC76DB"/>
    <w:rsid w:val="4CA81950"/>
    <w:rsid w:val="4D4E77F2"/>
    <w:rsid w:val="4E931B10"/>
    <w:rsid w:val="4FD73045"/>
    <w:rsid w:val="51C771E3"/>
    <w:rsid w:val="51F9487C"/>
    <w:rsid w:val="52EE746C"/>
    <w:rsid w:val="5452446D"/>
    <w:rsid w:val="563C7D3B"/>
    <w:rsid w:val="567A0461"/>
    <w:rsid w:val="567A4548"/>
    <w:rsid w:val="56E0707C"/>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663677"/>
    <w:rsid w:val="6DFB560B"/>
    <w:rsid w:val="6F17421F"/>
    <w:rsid w:val="6F7B3153"/>
    <w:rsid w:val="6F975B11"/>
    <w:rsid w:val="6FA3250B"/>
    <w:rsid w:val="71E561F0"/>
    <w:rsid w:val="73587C07"/>
    <w:rsid w:val="737F1A45"/>
    <w:rsid w:val="73974732"/>
    <w:rsid w:val="74A64C8E"/>
    <w:rsid w:val="74D87F63"/>
    <w:rsid w:val="75EA64FF"/>
    <w:rsid w:val="767416B7"/>
    <w:rsid w:val="76E353C5"/>
    <w:rsid w:val="77C15694"/>
    <w:rsid w:val="78323E75"/>
    <w:rsid w:val="78F84331"/>
    <w:rsid w:val="79FB6B36"/>
    <w:rsid w:val="7A61311F"/>
    <w:rsid w:val="7A664B08"/>
    <w:rsid w:val="7AA2317C"/>
    <w:rsid w:val="7B965710"/>
    <w:rsid w:val="7BF14DB6"/>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478FE-38B8-41B3-BC9A-22D8F0E64624}">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858</Characters>
  <Lines>7</Lines>
  <Paragraphs>2</Paragraphs>
  <ScaleCrop>false</ScaleCrop>
  <LinksUpToDate>false</LinksUpToDate>
  <CharactersWithSpaces>1006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2022-06-17T07:14:36Z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